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64A801EF"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w:t>
      </w:r>
      <w:r w:rsidRPr="003811B1">
        <w:rPr>
          <w:rFonts w:ascii="Arial" w:hAnsi="Arial" w:cs="Arial"/>
          <w:b/>
          <w:bCs/>
          <w:lang w:val="en-US" w:eastAsia="en-US"/>
        </w:rPr>
        <w:t>ting #</w:t>
      </w:r>
      <w:r w:rsidR="006A77F4" w:rsidRPr="003811B1">
        <w:rPr>
          <w:rFonts w:ascii="Arial" w:hAnsi="Arial" w:cs="Arial"/>
          <w:b/>
          <w:bCs/>
          <w:lang w:val="en-US" w:eastAsia="en-US"/>
        </w:rPr>
        <w:t>12</w:t>
      </w:r>
      <w:r w:rsidR="005963E4" w:rsidRPr="003811B1">
        <w:rPr>
          <w:rFonts w:ascii="Arial" w:hAnsi="Arial" w:cs="Arial"/>
          <w:b/>
          <w:bCs/>
          <w:lang w:val="en-US" w:eastAsia="en-US"/>
        </w:rPr>
        <w:t>7</w:t>
      </w:r>
      <w:r w:rsidR="00C70B62" w:rsidRPr="003811B1">
        <w:rPr>
          <w:rFonts w:ascii="Arial" w:hAnsi="Arial" w:cs="Arial"/>
          <w:b/>
          <w:bCs/>
          <w:lang w:val="en-US" w:eastAsia="en-US"/>
        </w:rPr>
        <w:t>bis</w:t>
      </w:r>
      <w:r w:rsidRPr="003811B1">
        <w:rPr>
          <w:rFonts w:ascii="Arial" w:hAnsi="Arial" w:cs="Arial"/>
          <w:b/>
          <w:bCs/>
          <w:lang w:val="en-US" w:eastAsia="en-US"/>
        </w:rPr>
        <w:tab/>
      </w:r>
      <w:r w:rsidRPr="003811B1">
        <w:rPr>
          <w:rFonts w:ascii="Arial" w:hAnsi="Arial" w:cs="Arial"/>
          <w:b/>
          <w:bCs/>
          <w:lang w:val="en-US" w:eastAsia="en-US"/>
        </w:rPr>
        <w:tab/>
      </w:r>
      <w:r w:rsidRPr="003811B1">
        <w:rPr>
          <w:rFonts w:ascii="Arial" w:hAnsi="Arial" w:cs="Arial"/>
          <w:b/>
          <w:bCs/>
          <w:lang w:val="en-US" w:eastAsia="en-US"/>
        </w:rPr>
        <w:tab/>
      </w:r>
      <w:r w:rsidRPr="003811B1">
        <w:rPr>
          <w:rFonts w:ascii="Arial" w:hAnsi="Arial" w:cs="Arial"/>
          <w:b/>
          <w:bCs/>
          <w:lang w:val="en-US" w:eastAsia="en-US"/>
        </w:rPr>
        <w:tab/>
      </w:r>
      <w:r w:rsidRPr="003811B1">
        <w:rPr>
          <w:rFonts w:ascii="Arial" w:hAnsi="Arial" w:cs="Arial"/>
          <w:b/>
          <w:bCs/>
          <w:lang w:val="en-US" w:eastAsia="en-US"/>
        </w:rPr>
        <w:tab/>
      </w:r>
      <w:r w:rsidRPr="003811B1">
        <w:rPr>
          <w:rFonts w:ascii="Arial" w:hAnsi="Arial" w:cs="Arial"/>
          <w:b/>
          <w:bCs/>
          <w:lang w:val="en-US" w:eastAsia="en-US"/>
        </w:rPr>
        <w:tab/>
      </w:r>
      <w:r w:rsidRPr="003811B1">
        <w:rPr>
          <w:rFonts w:ascii="Arial" w:hAnsi="Arial" w:cs="Arial"/>
          <w:b/>
          <w:bCs/>
          <w:lang w:val="en-US" w:eastAsia="en-US"/>
        </w:rPr>
        <w:tab/>
      </w:r>
      <w:r w:rsidRPr="003811B1">
        <w:rPr>
          <w:rFonts w:ascii="Arial" w:hAnsi="Arial" w:cs="Arial"/>
          <w:b/>
          <w:bCs/>
          <w:lang w:val="en-US" w:eastAsia="en-US"/>
        </w:rPr>
        <w:tab/>
      </w:r>
      <w:r w:rsidRPr="003811B1">
        <w:rPr>
          <w:rFonts w:ascii="Arial" w:hAnsi="Arial" w:cs="Arial"/>
          <w:b/>
          <w:bCs/>
          <w:lang w:val="en-US" w:eastAsia="en-US"/>
        </w:rPr>
        <w:tab/>
      </w:r>
      <w:r w:rsidR="005963E4" w:rsidRPr="003811B1">
        <w:rPr>
          <w:rFonts w:ascii="Arial" w:hAnsi="Arial" w:cs="Arial"/>
          <w:b/>
          <w:bCs/>
          <w:lang w:val="en-US" w:eastAsia="en-US"/>
        </w:rPr>
        <w:tab/>
      </w:r>
      <w:r w:rsidR="005963E4" w:rsidRPr="003811B1">
        <w:rPr>
          <w:rFonts w:ascii="Arial" w:hAnsi="Arial" w:cs="Arial"/>
          <w:b/>
          <w:bCs/>
          <w:lang w:val="en-US" w:eastAsia="en-US"/>
        </w:rPr>
        <w:tab/>
      </w:r>
      <w:r w:rsidR="00110BB2" w:rsidRPr="003811B1">
        <w:rPr>
          <w:rFonts w:ascii="Arial" w:hAnsi="Arial" w:cs="Arial"/>
          <w:b/>
          <w:bCs/>
          <w:lang w:val="en-US" w:eastAsia="en-US"/>
        </w:rPr>
        <w:t>R2-</w:t>
      </w:r>
      <w:r w:rsidR="0042107C" w:rsidRPr="003811B1">
        <w:rPr>
          <w:rFonts w:ascii="Arial" w:hAnsi="Arial" w:cs="Arial"/>
          <w:b/>
          <w:bCs/>
          <w:lang w:val="en-US" w:eastAsia="en-US"/>
        </w:rPr>
        <w:t>24</w:t>
      </w:r>
      <w:r w:rsidR="003811B1" w:rsidRPr="003811B1">
        <w:rPr>
          <w:rFonts w:ascii="Arial" w:hAnsi="Arial" w:cs="Arial"/>
          <w:b/>
          <w:bCs/>
          <w:lang w:val="en-US" w:eastAsia="en-US"/>
        </w:rPr>
        <w:t>08617</w:t>
      </w:r>
    </w:p>
    <w:bookmarkEnd w:id="0"/>
    <w:p w14:paraId="6BB14B0B" w14:textId="71F47C81" w:rsidR="005963E4" w:rsidRDefault="00C70B62" w:rsidP="0041311A">
      <w:pPr>
        <w:tabs>
          <w:tab w:val="left" w:pos="1979"/>
        </w:tabs>
        <w:spacing w:after="180" w:line="240" w:lineRule="auto"/>
        <w:ind w:left="1979" w:hanging="1979"/>
        <w:jc w:val="left"/>
        <w:rPr>
          <w:rFonts w:ascii="Arial" w:hAnsi="Arial" w:cs="Arial"/>
          <w:b/>
          <w:bCs/>
          <w:lang w:val="en-US"/>
        </w:rPr>
      </w:pPr>
      <w:r>
        <w:rPr>
          <w:rFonts w:ascii="Arial" w:hAnsi="Arial" w:cs="Arial"/>
          <w:b/>
          <w:bCs/>
          <w:lang w:val="en-US"/>
        </w:rPr>
        <w:t>Hefei, China</w:t>
      </w:r>
      <w:r w:rsidR="005963E4" w:rsidRPr="005963E4">
        <w:rPr>
          <w:rFonts w:ascii="Arial" w:hAnsi="Arial" w:cs="Arial"/>
          <w:b/>
          <w:bCs/>
          <w:lang w:val="en-US"/>
        </w:rPr>
        <w:t xml:space="preserve">, </w:t>
      </w:r>
      <w:r>
        <w:rPr>
          <w:rFonts w:ascii="Arial" w:hAnsi="Arial" w:cs="Arial"/>
          <w:b/>
          <w:bCs/>
          <w:lang w:val="en-US"/>
        </w:rPr>
        <w:t>October</w:t>
      </w:r>
      <w:r w:rsidR="00EE24E6">
        <w:rPr>
          <w:rFonts w:ascii="Arial" w:hAnsi="Arial" w:cs="Arial"/>
          <w:b/>
          <w:bCs/>
          <w:lang w:val="en-US"/>
        </w:rPr>
        <w:t xml:space="preserve"> </w:t>
      </w:r>
      <w:r>
        <w:rPr>
          <w:rFonts w:ascii="Arial" w:hAnsi="Arial" w:cs="Arial"/>
          <w:b/>
          <w:bCs/>
          <w:lang w:val="en-US"/>
        </w:rPr>
        <w:t>14</w:t>
      </w:r>
      <w:r w:rsidR="005963E4" w:rsidRPr="005963E4">
        <w:rPr>
          <w:rFonts w:ascii="Arial" w:hAnsi="Arial" w:cs="Arial"/>
          <w:b/>
          <w:bCs/>
          <w:lang w:val="en-US"/>
        </w:rPr>
        <w:t xml:space="preserve">th – </w:t>
      </w:r>
      <w:r>
        <w:rPr>
          <w:rFonts w:ascii="Arial" w:hAnsi="Arial" w:cs="Arial"/>
          <w:b/>
          <w:bCs/>
          <w:lang w:val="en-US"/>
        </w:rPr>
        <w:t>18th</w:t>
      </w:r>
      <w:r w:rsidR="005963E4" w:rsidRPr="005963E4">
        <w:rPr>
          <w:rFonts w:ascii="Arial" w:hAnsi="Arial" w:cs="Arial"/>
          <w:b/>
          <w:bCs/>
          <w:lang w:val="en-US"/>
        </w:rPr>
        <w:t>, 2024</w:t>
      </w:r>
    </w:p>
    <w:p w14:paraId="06D73357" w14:textId="021BA732" w:rsidR="00003169" w:rsidRPr="00AE129D"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AE129D">
        <w:rPr>
          <w:rFonts w:ascii="Arial" w:eastAsia="Malgun Gothic" w:hAnsi="Arial" w:cs="Arial" w:hint="eastAsia"/>
          <w:b/>
          <w:bCs/>
          <w:lang w:val="en-US" w:eastAsia="ko-KR"/>
        </w:rPr>
        <w:t>8.7.3</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24FE1991" w:rsidR="00003169" w:rsidRPr="00AE129D"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 xml:space="preserve">Title:  </w:t>
      </w:r>
      <w:r w:rsidRPr="00736A62">
        <w:rPr>
          <w:rFonts w:ascii="Arial" w:hAnsi="Arial" w:cs="Arial"/>
          <w:b/>
          <w:bCs/>
          <w:lang w:val="en-US" w:eastAsia="en-US"/>
        </w:rPr>
        <w:tab/>
      </w:r>
      <w:r w:rsidR="00384027">
        <w:rPr>
          <w:rFonts w:ascii="Arial" w:hAnsi="Arial" w:cs="Arial"/>
          <w:b/>
          <w:bCs/>
          <w:lang w:val="en-US" w:eastAsia="en-US"/>
        </w:rPr>
        <w:t xml:space="preserve">Measurement </w:t>
      </w:r>
      <w:r w:rsidR="00AE129D">
        <w:rPr>
          <w:rFonts w:ascii="Arial" w:eastAsia="Malgun Gothic" w:hAnsi="Arial" w:cs="Arial" w:hint="eastAsia"/>
          <w:b/>
          <w:bCs/>
          <w:lang w:val="en-US" w:eastAsia="ko-KR"/>
        </w:rPr>
        <w:t>Gap Enhancements for XR</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23FD3D93" w14:textId="0D8B2873" w:rsidR="005F561C" w:rsidRDefault="00C46779" w:rsidP="00FF2CF7">
      <w:pPr>
        <w:spacing w:line="240" w:lineRule="auto"/>
        <w:rPr>
          <w:lang w:val="en-US"/>
        </w:rPr>
      </w:pPr>
      <w:r>
        <w:rPr>
          <w:lang w:val="en-US"/>
        </w:rPr>
        <w:t xml:space="preserve">The WID on XR Phase 3 </w:t>
      </w:r>
      <w:r w:rsidR="007C1233">
        <w:rPr>
          <w:lang w:val="en-US"/>
        </w:rPr>
        <w:t xml:space="preserve">has added </w:t>
      </w:r>
      <w:r>
        <w:rPr>
          <w:lang w:val="en-US"/>
        </w:rPr>
        <w:t>an objective on enhancements to enable transmission/reception in gaps, as follows:</w:t>
      </w:r>
      <w:r w:rsidR="00A26BBA">
        <w:rPr>
          <w:lang w:val="en-US"/>
        </w:rPr>
        <w:t xml:space="preserve"> </w:t>
      </w:r>
    </w:p>
    <w:tbl>
      <w:tblPr>
        <w:tblStyle w:val="TableGrid"/>
        <w:tblW w:w="0" w:type="auto"/>
        <w:tblLook w:val="04A0" w:firstRow="1" w:lastRow="0" w:firstColumn="1" w:lastColumn="0" w:noHBand="0" w:noVBand="1"/>
      </w:tblPr>
      <w:tblGrid>
        <w:gridCol w:w="9629"/>
      </w:tblGrid>
      <w:tr w:rsidR="005F561C" w14:paraId="1229F72E" w14:textId="77777777" w:rsidTr="005F561C">
        <w:tc>
          <w:tcPr>
            <w:tcW w:w="9629" w:type="dxa"/>
          </w:tcPr>
          <w:p w14:paraId="42D7580E" w14:textId="77777777" w:rsidR="005F561C" w:rsidRPr="002A7BFB" w:rsidRDefault="005F561C" w:rsidP="005F561C">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5E08C993" w14:textId="2517A931" w:rsidR="005F561C" w:rsidRDefault="005F561C" w:rsidP="005F561C">
            <w:pPr>
              <w:pStyle w:val="B2"/>
              <w:rPr>
                <w:lang w:val="en-US"/>
              </w:rPr>
            </w:pPr>
            <w:r>
              <w:t>-</w:t>
            </w:r>
            <w:r>
              <w:tab/>
            </w:r>
            <w:r w:rsidRPr="002A7BFB">
              <w:t>Specify the corresponding measurement gap and scheduling restriction to enable the identified enhancements with RRM performance impact taken into consideration, work being triggered by LS. [RAN4]</w:t>
            </w:r>
          </w:p>
        </w:tc>
      </w:tr>
    </w:tbl>
    <w:p w14:paraId="07CD5B39" w14:textId="271BFC41" w:rsidR="005A6A79" w:rsidRDefault="00B21B8C" w:rsidP="006D364D">
      <w:pPr>
        <w:spacing w:before="240" w:line="240" w:lineRule="auto"/>
        <w:rPr>
          <w:lang w:val="en-US"/>
        </w:rPr>
      </w:pPr>
      <w:r>
        <w:rPr>
          <w:lang w:val="en-US"/>
        </w:rPr>
        <w:t>This document discusses RAN2 aspects of the measurement gap enhancements:</w:t>
      </w:r>
      <w:r w:rsidR="006D364D">
        <w:rPr>
          <w:lang w:val="en-US"/>
        </w:rPr>
        <w:t xml:space="preserve"> </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4A513814" w14:textId="0C1552FE" w:rsidR="00B474B3" w:rsidRDefault="00BD5EB8" w:rsidP="00EF18D6">
      <w:pPr>
        <w:spacing w:line="240" w:lineRule="auto"/>
      </w:pPr>
      <w:r>
        <w:t xml:space="preserve">In RAN1#118, </w:t>
      </w:r>
      <w:r w:rsidR="003D1A9D">
        <w:t>RAN1 made a working assumption that DCI is used for an explicit indication to skip a particular gap as follows:</w:t>
      </w:r>
    </w:p>
    <w:tbl>
      <w:tblPr>
        <w:tblStyle w:val="TableGrid"/>
        <w:tblW w:w="0" w:type="auto"/>
        <w:tblLook w:val="04A0" w:firstRow="1" w:lastRow="0" w:firstColumn="1" w:lastColumn="0" w:noHBand="0" w:noVBand="1"/>
      </w:tblPr>
      <w:tblGrid>
        <w:gridCol w:w="9629"/>
      </w:tblGrid>
      <w:tr w:rsidR="003D1A9D" w14:paraId="2DDA0687" w14:textId="77777777" w:rsidTr="003D1A9D">
        <w:tc>
          <w:tcPr>
            <w:tcW w:w="9629" w:type="dxa"/>
          </w:tcPr>
          <w:p w14:paraId="76D99D8C" w14:textId="77777777" w:rsidR="003D1A9D" w:rsidRPr="00B7767A" w:rsidRDefault="003D1A9D" w:rsidP="003D1A9D">
            <w:pPr>
              <w:spacing w:before="240" w:after="0" w:line="240" w:lineRule="auto"/>
              <w:rPr>
                <w:rFonts w:ascii="Times" w:eastAsia="Batang" w:hAnsi="Times"/>
                <w:sz w:val="20"/>
                <w:lang w:eastAsia="en-US"/>
              </w:rPr>
            </w:pPr>
            <w:r w:rsidRPr="00B7767A">
              <w:rPr>
                <w:rFonts w:ascii="Times" w:eastAsia="Batang" w:hAnsi="Times"/>
                <w:sz w:val="20"/>
                <w:highlight w:val="darkYellow"/>
                <w:lang w:eastAsia="en-US"/>
              </w:rPr>
              <w:t>Working Assumption</w:t>
            </w:r>
          </w:p>
          <w:p w14:paraId="157DEA97" w14:textId="77777777" w:rsidR="003D1A9D" w:rsidRPr="00B7767A" w:rsidRDefault="003D1A9D" w:rsidP="003D1A9D">
            <w:pPr>
              <w:spacing w:after="0" w:line="240" w:lineRule="auto"/>
              <w:rPr>
                <w:rFonts w:ascii="Times" w:eastAsia="Batang" w:hAnsi="Times"/>
                <w:sz w:val="20"/>
                <w:lang w:eastAsia="en-US"/>
              </w:rPr>
            </w:pPr>
            <w:r w:rsidRPr="00B7767A">
              <w:rPr>
                <w:rFonts w:ascii="Times" w:eastAsia="Batang" w:hAnsi="Times"/>
                <w:sz w:val="20"/>
                <w:lang w:eastAsia="en-US"/>
              </w:rPr>
              <w:t>For solutions based on triggering/enabling by network signaling to enable Tx/Rx in gaps/restrictions that are caused by RRM measurements select the following option:</w:t>
            </w:r>
          </w:p>
          <w:p w14:paraId="1A9D5788" w14:textId="77777777" w:rsidR="003D1A9D" w:rsidRPr="00B7767A" w:rsidRDefault="003D1A9D" w:rsidP="003D1A9D">
            <w:pPr>
              <w:numPr>
                <w:ilvl w:val="0"/>
                <w:numId w:val="39"/>
              </w:numPr>
              <w:overflowPunct/>
              <w:autoSpaceDE/>
              <w:autoSpaceDN/>
              <w:adjustRightInd/>
              <w:spacing w:after="0" w:line="240" w:lineRule="auto"/>
              <w:contextualSpacing/>
              <w:jc w:val="left"/>
              <w:textAlignment w:val="auto"/>
              <w:rPr>
                <w:rFonts w:ascii="Times" w:eastAsia="Batang" w:hAnsi="Times"/>
                <w:sz w:val="20"/>
                <w:lang w:eastAsia="x-none"/>
              </w:rPr>
            </w:pPr>
            <w:r w:rsidRPr="00B7767A">
              <w:rPr>
                <w:rFonts w:ascii="Times" w:eastAsia="Batang" w:hAnsi="Times"/>
                <w:sz w:val="20"/>
                <w:lang w:eastAsia="x-none"/>
              </w:rPr>
              <w:t xml:space="preserve">Alt. 1: Dynamic indication to enable Tx/Rx in particular gap/restriction that are caused by RRM measurements. </w:t>
            </w:r>
          </w:p>
          <w:p w14:paraId="2133CA7C" w14:textId="77777777" w:rsidR="003D1A9D" w:rsidRPr="00B7767A" w:rsidRDefault="003D1A9D" w:rsidP="003D1A9D">
            <w:pPr>
              <w:numPr>
                <w:ilvl w:val="1"/>
                <w:numId w:val="39"/>
              </w:numPr>
              <w:overflowPunct/>
              <w:autoSpaceDE/>
              <w:autoSpaceDN/>
              <w:adjustRightInd/>
              <w:spacing w:after="0" w:line="240" w:lineRule="auto"/>
              <w:contextualSpacing/>
              <w:jc w:val="left"/>
              <w:textAlignment w:val="auto"/>
              <w:rPr>
                <w:rFonts w:ascii="Times" w:eastAsia="Batang" w:hAnsi="Times"/>
                <w:sz w:val="20"/>
                <w:lang w:eastAsia="x-none"/>
              </w:rPr>
            </w:pPr>
            <w:r w:rsidRPr="00B7767A">
              <w:rPr>
                <w:rFonts w:ascii="Times" w:eastAsia="Batang" w:hAnsi="Times"/>
                <w:b/>
                <w:bCs/>
                <w:sz w:val="20"/>
                <w:lang w:eastAsia="x-none"/>
              </w:rPr>
              <w:t>Alt 1-1</w:t>
            </w:r>
            <w:r w:rsidRPr="00B7767A">
              <w:rPr>
                <w:rFonts w:ascii="Times" w:eastAsia="Batang" w:hAnsi="Times"/>
                <w:sz w:val="20"/>
                <w:lang w:eastAsia="x-none"/>
              </w:rPr>
              <w:t>: Explicit indication by DCI to skip a particular gap/restriction;</w:t>
            </w:r>
          </w:p>
          <w:p w14:paraId="5AEBB4DD" w14:textId="77777777" w:rsidR="003D1A9D" w:rsidRPr="00B7767A" w:rsidRDefault="003D1A9D" w:rsidP="003D1A9D">
            <w:pPr>
              <w:numPr>
                <w:ilvl w:val="2"/>
                <w:numId w:val="39"/>
              </w:numPr>
              <w:overflowPunct/>
              <w:autoSpaceDE/>
              <w:autoSpaceDN/>
              <w:adjustRightInd/>
              <w:spacing w:after="0" w:line="240" w:lineRule="auto"/>
              <w:contextualSpacing/>
              <w:jc w:val="left"/>
              <w:textAlignment w:val="auto"/>
              <w:rPr>
                <w:rFonts w:ascii="Times" w:eastAsia="Batang" w:hAnsi="Times"/>
                <w:sz w:val="20"/>
                <w:lang w:eastAsia="x-none"/>
              </w:rPr>
            </w:pPr>
            <w:r w:rsidRPr="00B7767A">
              <w:rPr>
                <w:rFonts w:ascii="Times" w:eastAsia="Batang" w:hAnsi="Times"/>
                <w:sz w:val="20"/>
                <w:lang w:eastAsia="x-none"/>
              </w:rPr>
              <w:t>Indication is included as part of scheduling DCI:</w:t>
            </w:r>
          </w:p>
          <w:p w14:paraId="1F865682" w14:textId="77777777" w:rsidR="003D1A9D" w:rsidRPr="00B7767A" w:rsidRDefault="003D1A9D" w:rsidP="003D1A9D">
            <w:pPr>
              <w:numPr>
                <w:ilvl w:val="3"/>
                <w:numId w:val="39"/>
              </w:numPr>
              <w:overflowPunct/>
              <w:autoSpaceDE/>
              <w:autoSpaceDN/>
              <w:adjustRightInd/>
              <w:spacing w:after="0" w:line="240" w:lineRule="auto"/>
              <w:contextualSpacing/>
              <w:jc w:val="left"/>
              <w:textAlignment w:val="auto"/>
              <w:rPr>
                <w:rFonts w:ascii="Times" w:eastAsia="Batang" w:hAnsi="Times"/>
                <w:sz w:val="20"/>
                <w:lang w:eastAsia="x-none"/>
              </w:rPr>
            </w:pPr>
            <w:r w:rsidRPr="00B7767A">
              <w:rPr>
                <w:rFonts w:ascii="Times" w:eastAsia="Batang" w:hAnsi="Times"/>
                <w:sz w:val="20"/>
                <w:lang w:eastAsia="x-none"/>
              </w:rPr>
              <w:t>Bit-field size is one bit;</w:t>
            </w:r>
          </w:p>
          <w:p w14:paraId="7FB172FE" w14:textId="77777777" w:rsidR="003D1A9D" w:rsidRPr="00B7767A" w:rsidRDefault="003D1A9D" w:rsidP="003D1A9D">
            <w:pPr>
              <w:numPr>
                <w:ilvl w:val="4"/>
                <w:numId w:val="39"/>
              </w:numPr>
              <w:overflowPunct/>
              <w:autoSpaceDE/>
              <w:autoSpaceDN/>
              <w:adjustRightInd/>
              <w:spacing w:after="0" w:line="240" w:lineRule="auto"/>
              <w:jc w:val="left"/>
              <w:textAlignment w:val="auto"/>
              <w:rPr>
                <w:rFonts w:ascii="Times" w:eastAsia="Batang" w:hAnsi="Times"/>
                <w:sz w:val="20"/>
                <w:lang w:eastAsia="x-none"/>
              </w:rPr>
            </w:pPr>
            <w:r w:rsidRPr="00B7767A">
              <w:rPr>
                <w:rFonts w:ascii="Times" w:eastAsia="Batang" w:hAnsi="Times"/>
                <w:sz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5957C33" w14:textId="77777777" w:rsidR="003D1A9D" w:rsidRDefault="003D1A9D" w:rsidP="003D1A9D">
            <w:pPr>
              <w:spacing w:after="0" w:line="240" w:lineRule="auto"/>
              <w:contextualSpacing/>
              <w:rPr>
                <w:rFonts w:ascii="Times" w:eastAsia="Batang" w:hAnsi="Times"/>
                <w:sz w:val="20"/>
                <w:lang w:eastAsia="x-none"/>
              </w:rPr>
            </w:pPr>
            <w:r w:rsidRPr="00B7767A">
              <w:rPr>
                <w:rFonts w:ascii="Times" w:eastAsia="Batang" w:hAnsi="Times"/>
                <w:sz w:val="20"/>
                <w:lang w:eastAsia="x-none"/>
              </w:rPr>
              <w:t>Send an LS to RAN4 to inform them of the above working assumption and ask them if there is any issue with it.</w:t>
            </w:r>
          </w:p>
          <w:p w14:paraId="62CA892A" w14:textId="77777777" w:rsidR="003D1A9D" w:rsidRPr="00B7767A" w:rsidRDefault="003D1A9D" w:rsidP="003D1A9D">
            <w:pPr>
              <w:spacing w:after="0" w:line="240" w:lineRule="auto"/>
              <w:contextualSpacing/>
              <w:rPr>
                <w:rFonts w:ascii="Times" w:eastAsia="Batang" w:hAnsi="Times"/>
                <w:sz w:val="20"/>
                <w:lang w:eastAsia="x-none"/>
              </w:rPr>
            </w:pPr>
          </w:p>
          <w:p w14:paraId="0EFD0BE5" w14:textId="77777777" w:rsidR="003D1A9D" w:rsidRPr="00B7767A" w:rsidRDefault="003D1A9D" w:rsidP="003D1A9D">
            <w:pPr>
              <w:spacing w:after="0" w:line="240" w:lineRule="auto"/>
              <w:rPr>
                <w:rFonts w:ascii="Times" w:eastAsia="Batang" w:hAnsi="Times"/>
                <w:sz w:val="20"/>
                <w:lang w:eastAsia="en-US"/>
              </w:rPr>
            </w:pPr>
            <w:r w:rsidRPr="00B7767A">
              <w:rPr>
                <w:rFonts w:ascii="Times" w:eastAsia="Batang" w:hAnsi="Times"/>
                <w:sz w:val="20"/>
                <w:highlight w:val="green"/>
                <w:lang w:eastAsia="en-US"/>
              </w:rPr>
              <w:t>Agreement</w:t>
            </w:r>
          </w:p>
          <w:p w14:paraId="10A53B20" w14:textId="1CBDF86E" w:rsidR="003D1A9D" w:rsidRDefault="003D1A9D" w:rsidP="003D1A9D">
            <w:pPr>
              <w:spacing w:line="240" w:lineRule="auto"/>
            </w:pPr>
            <w:r w:rsidRPr="00B7767A">
              <w:rPr>
                <w:rFonts w:ascii="Times" w:eastAsia="Batang" w:hAnsi="Times"/>
                <w:sz w:val="20"/>
                <w:lang w:eastAsia="en-US"/>
              </w:rPr>
              <w:t>If Alt. 1 from RAN1#117 agreement is supported, minimum time offset(s) X between indication to skip and skipped measurement occasion is up to RAN4 to discuss and decide on particular value(s).</w:t>
            </w:r>
          </w:p>
        </w:tc>
      </w:tr>
    </w:tbl>
    <w:p w14:paraId="7CE17F76" w14:textId="649059E9" w:rsidR="003D1A9D" w:rsidRDefault="005D79A0" w:rsidP="005D79A0">
      <w:pPr>
        <w:spacing w:before="240" w:line="240" w:lineRule="auto"/>
      </w:pPr>
      <w:r>
        <w:t xml:space="preserve">RAN2 needs to discuss whether and what RAN2 spec impacts are expected. </w:t>
      </w:r>
      <w:r w:rsidR="00007E0B">
        <w:t>TS 38.321 specifies the MAC behaviour during the activated measurement gap. The legacy measurement gap is configured by RRC. An assumption is that the MAC entity is aware of the time during which the measurement gap is activated. Thus, the MAC specification does not specify how the MAC entity is aware of it.</w:t>
      </w:r>
    </w:p>
    <w:p w14:paraId="48215EE8" w14:textId="12963785" w:rsidR="006F5E65" w:rsidRDefault="00007E0B" w:rsidP="00007E0B">
      <w:pPr>
        <w:spacing w:before="240" w:line="240" w:lineRule="auto"/>
      </w:pPr>
      <w:r>
        <w:t xml:space="preserve">For DCI indication, RRC signaling does not provide </w:t>
      </w:r>
      <w:r w:rsidR="00BB7E1B">
        <w:t xml:space="preserve">any </w:t>
      </w:r>
      <w:r>
        <w:t xml:space="preserve">information on the actual activated time of measurement gap. Thus, MAC entity needs to refer to somewhere in the specification. A simplest way is that </w:t>
      </w:r>
      <w:r>
        <w:lastRenderedPageBreak/>
        <w:t>the MAC specification specifies that MAC entity considers the corresponding first measurement gap offset after the DCI as not activated. Then, we can just reuse other existing texts without any change.</w:t>
      </w:r>
    </w:p>
    <w:p w14:paraId="36FE1094" w14:textId="3A503EDC" w:rsidR="00446642" w:rsidRDefault="00446642" w:rsidP="00446642">
      <w:pPr>
        <w:pStyle w:val="Proposal"/>
      </w:pPr>
      <w:r>
        <w:t>TS 38.321 specifies: if the explicit indication by DCI to skip a particular gap, the MAC entity considers the corresponding first measurement gap as not activated.</w:t>
      </w:r>
    </w:p>
    <w:p w14:paraId="33CDDA7B" w14:textId="7637D2A1" w:rsidR="005D79A0" w:rsidRDefault="00BD5EB8" w:rsidP="005D79A0">
      <w:pPr>
        <w:spacing w:before="240" w:line="240" w:lineRule="auto"/>
        <w:rPr>
          <w:lang w:val="en-US"/>
        </w:rPr>
      </w:pPr>
      <w:r>
        <w:t>In RAN1#11</w:t>
      </w:r>
      <w:r w:rsidR="0056745A">
        <w:t>7</w:t>
      </w:r>
      <w:r>
        <w:t>, RAN1 reached the conclusion on UE assistance information without consensus as follows:</w:t>
      </w:r>
    </w:p>
    <w:tbl>
      <w:tblPr>
        <w:tblStyle w:val="TableGrid"/>
        <w:tblW w:w="0" w:type="auto"/>
        <w:tblLook w:val="04A0" w:firstRow="1" w:lastRow="0" w:firstColumn="1" w:lastColumn="0" w:noHBand="0" w:noVBand="1"/>
      </w:tblPr>
      <w:tblGrid>
        <w:gridCol w:w="9629"/>
      </w:tblGrid>
      <w:tr w:rsidR="005D79A0" w14:paraId="1A4FFC88" w14:textId="77777777" w:rsidTr="001B401A">
        <w:tc>
          <w:tcPr>
            <w:tcW w:w="9629" w:type="dxa"/>
          </w:tcPr>
          <w:p w14:paraId="2C98B9A0" w14:textId="77777777" w:rsidR="005D79A0" w:rsidRPr="006D364D" w:rsidRDefault="005D79A0" w:rsidP="001B401A">
            <w:pPr>
              <w:spacing w:before="240" w:after="0" w:line="240" w:lineRule="auto"/>
              <w:rPr>
                <w:rFonts w:ascii="Times" w:eastAsia="Batang" w:hAnsi="Times"/>
                <w:b/>
                <w:bCs/>
                <w:sz w:val="20"/>
                <w:lang w:eastAsia="en-US"/>
              </w:rPr>
            </w:pPr>
            <w:r w:rsidRPr="006D364D">
              <w:rPr>
                <w:rFonts w:ascii="Times" w:eastAsia="Batang" w:hAnsi="Times"/>
                <w:b/>
                <w:bCs/>
                <w:sz w:val="20"/>
                <w:lang w:eastAsia="en-US"/>
              </w:rPr>
              <w:t>Conclusion</w:t>
            </w:r>
          </w:p>
          <w:p w14:paraId="7A15F149" w14:textId="77777777" w:rsidR="005D79A0" w:rsidRPr="006D364D" w:rsidRDefault="005D79A0" w:rsidP="001B401A">
            <w:pPr>
              <w:spacing w:after="0" w:line="240" w:lineRule="auto"/>
              <w:rPr>
                <w:rFonts w:ascii="Times" w:eastAsia="Batang" w:hAnsi="Times"/>
                <w:color w:val="000000"/>
                <w:sz w:val="20"/>
                <w:lang w:eastAsia="en-US"/>
              </w:rPr>
            </w:pPr>
            <w:r w:rsidRPr="006D364D">
              <w:rPr>
                <w:rFonts w:ascii="Times" w:eastAsia="Batang" w:hAnsi="Times"/>
                <w:color w:val="000000"/>
                <w:sz w:val="20"/>
                <w:lang w:eastAsia="en-US"/>
              </w:rPr>
              <w:t>RAN1 does not further discuss new UE assistance information related to channel conditions, traffic, UE mobility.</w:t>
            </w:r>
          </w:p>
          <w:p w14:paraId="36D66645" w14:textId="77777777" w:rsidR="005D79A0" w:rsidRPr="006D364D" w:rsidRDefault="005D79A0" w:rsidP="001B401A">
            <w:pPr>
              <w:spacing w:before="240" w:after="0" w:line="240" w:lineRule="auto"/>
              <w:rPr>
                <w:rFonts w:ascii="Times" w:eastAsia="Batang" w:hAnsi="Times"/>
                <w:b/>
                <w:bCs/>
                <w:sz w:val="20"/>
              </w:rPr>
            </w:pPr>
            <w:r w:rsidRPr="006D364D">
              <w:rPr>
                <w:rFonts w:ascii="Times" w:eastAsia="Batang" w:hAnsi="Times" w:hint="eastAsia"/>
                <w:b/>
                <w:bCs/>
                <w:sz w:val="20"/>
              </w:rPr>
              <w:t>C</w:t>
            </w:r>
            <w:r w:rsidRPr="006D364D">
              <w:rPr>
                <w:rFonts w:ascii="Times" w:eastAsia="Batang" w:hAnsi="Times"/>
                <w:b/>
                <w:bCs/>
                <w:sz w:val="20"/>
              </w:rPr>
              <w:t>onclusion</w:t>
            </w:r>
          </w:p>
          <w:p w14:paraId="5A1E3C82" w14:textId="77777777" w:rsidR="005D79A0" w:rsidRPr="00B7767A" w:rsidRDefault="005D79A0" w:rsidP="001B401A">
            <w:pPr>
              <w:spacing w:after="0" w:line="240" w:lineRule="auto"/>
              <w:rPr>
                <w:rFonts w:ascii="Times" w:eastAsia="Batang" w:hAnsi="Times"/>
                <w:sz w:val="20"/>
                <w:lang w:eastAsia="en-US"/>
              </w:rPr>
            </w:pPr>
            <w:r w:rsidRPr="006D364D">
              <w:rPr>
                <w:rFonts w:ascii="Times" w:eastAsia="Batang" w:hAnsi="Times"/>
                <w:sz w:val="20"/>
                <w:lang w:eastAsia="en-US"/>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55042017" w14:textId="77777777" w:rsidR="005D79A0" w:rsidRPr="006D364D" w:rsidRDefault="005D79A0" w:rsidP="001B401A">
            <w:pPr>
              <w:spacing w:after="0" w:line="240" w:lineRule="auto"/>
            </w:pPr>
          </w:p>
        </w:tc>
      </w:tr>
    </w:tbl>
    <w:p w14:paraId="734B0C5A" w14:textId="3CEA4559" w:rsidR="006F5E65" w:rsidRDefault="00723659" w:rsidP="00723659">
      <w:pPr>
        <w:spacing w:before="240" w:line="240" w:lineRule="auto"/>
      </w:pPr>
      <w:r>
        <w:rPr>
          <w:lang w:val="en-US"/>
        </w:rPr>
        <w:t>Instead, RAN1 sent an LS to RAN4 (R1-2405736) to ask both feasibility and usefulness of the UAI on measurement occasion. Triggered by the LS, RAN4 started the relevant discussion but they did not reach the conclusion yet. In this situation, RAN2 discussion on UAI may be too early. We see that RAN2 starts the discussion on UAI after RAN4 reaches a conclusion that it is at least feasible.</w:t>
      </w:r>
      <w:r w:rsidR="006F5E65">
        <w:t xml:space="preserve"> </w:t>
      </w:r>
    </w:p>
    <w:p w14:paraId="2F76FD9A" w14:textId="70B0B5BA" w:rsidR="00D36888" w:rsidRDefault="00D36888" w:rsidP="00D36888">
      <w:pPr>
        <w:pStyle w:val="Proposal"/>
      </w:pPr>
      <w:r>
        <w:t>RAN2 discusses UAI on measurement occasion after RAN4 reaches a conclusion.</w:t>
      </w:r>
    </w:p>
    <w:p w14:paraId="166C3D84" w14:textId="77777777" w:rsidR="006F5E65" w:rsidRDefault="006F5E65" w:rsidP="00EF18D6">
      <w:pPr>
        <w:spacing w:line="240" w:lineRule="auto"/>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4A134B68" w:rsidR="00AD22EA" w:rsidRDefault="009A1ED9" w:rsidP="00F04B07">
      <w:pPr>
        <w:spacing w:afterLines="50" w:line="240" w:lineRule="auto"/>
        <w:jc w:val="left"/>
      </w:pPr>
      <w:r>
        <w:t xml:space="preserve">Based on the </w:t>
      </w:r>
      <w:r w:rsidR="005963E4">
        <w:t>discussion</w:t>
      </w:r>
      <w:r>
        <w:t xml:space="preserve"> given above, </w:t>
      </w:r>
      <w:r w:rsidR="007413EC">
        <w:t>RAN2 is requested to discuss and agree</w:t>
      </w:r>
      <w:r w:rsidR="00F04B07">
        <w:t xml:space="preserve"> the following </w:t>
      </w:r>
      <w:r w:rsidR="006644AA">
        <w:t>p</w:t>
      </w:r>
      <w:r w:rsidR="00F04B07">
        <w:t>roposals</w:t>
      </w:r>
      <w:r w:rsidR="00936A48">
        <w:t>:</w:t>
      </w:r>
    </w:p>
    <w:p w14:paraId="7AE6F39A" w14:textId="77777777" w:rsidR="00E7501C" w:rsidRDefault="00E7501C" w:rsidP="00E7501C">
      <w:pPr>
        <w:pStyle w:val="Proposal"/>
        <w:numPr>
          <w:ilvl w:val="0"/>
          <w:numId w:val="42"/>
        </w:numPr>
      </w:pPr>
      <w:r>
        <w:t>TS 38.321 specifies: if the explicit indication by DCI to skip a particular gap, the MAC entity considers the corresponding first measurement gap as not activated.</w:t>
      </w:r>
    </w:p>
    <w:p w14:paraId="5AFDCCDD" w14:textId="02F33341" w:rsidR="00603000" w:rsidRDefault="00E7501C" w:rsidP="004E5359">
      <w:pPr>
        <w:pStyle w:val="Proposal"/>
      </w:pPr>
      <w:r>
        <w:t>RAN2 discusses UAI on measurement occasion after RAN4 reaches a conclusion.</w:t>
      </w:r>
    </w:p>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B7A7A" w14:textId="77777777" w:rsidR="00510EE0" w:rsidRDefault="00510EE0">
      <w:pPr>
        <w:spacing w:after="0" w:line="240" w:lineRule="auto"/>
      </w:pPr>
      <w:r>
        <w:separator/>
      </w:r>
    </w:p>
  </w:endnote>
  <w:endnote w:type="continuationSeparator" w:id="0">
    <w:p w14:paraId="2B07BA4B" w14:textId="77777777" w:rsidR="00510EE0" w:rsidRDefault="00510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7C33D" w14:textId="77777777" w:rsidR="00510EE0" w:rsidRDefault="00510EE0">
      <w:pPr>
        <w:spacing w:after="0" w:line="240" w:lineRule="auto"/>
      </w:pPr>
      <w:r>
        <w:separator/>
      </w:r>
    </w:p>
  </w:footnote>
  <w:footnote w:type="continuationSeparator" w:id="0">
    <w:p w14:paraId="32208EEC" w14:textId="77777777" w:rsidR="00510EE0" w:rsidRDefault="00510E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9518335">
    <w:abstractNumId w:val="1"/>
  </w:num>
  <w:num w:numId="2" w16cid:durableId="494076756">
    <w:abstractNumId w:val="17"/>
  </w:num>
  <w:num w:numId="3" w16cid:durableId="24795948">
    <w:abstractNumId w:val="24"/>
  </w:num>
  <w:num w:numId="4" w16cid:durableId="876234038">
    <w:abstractNumId w:val="9"/>
  </w:num>
  <w:num w:numId="5" w16cid:durableId="740754545">
    <w:abstractNumId w:val="16"/>
  </w:num>
  <w:num w:numId="6" w16cid:durableId="356853619">
    <w:abstractNumId w:val="33"/>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1"/>
  </w:num>
  <w:num w:numId="18" w16cid:durableId="1995376813">
    <w:abstractNumId w:val="34"/>
  </w:num>
  <w:num w:numId="19" w16cid:durableId="1213736766">
    <w:abstractNumId w:val="19"/>
  </w:num>
  <w:num w:numId="20" w16cid:durableId="1125275007">
    <w:abstractNumId w:val="12"/>
  </w:num>
  <w:num w:numId="21" w16cid:durableId="2040547397">
    <w:abstractNumId w:val="35"/>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3"/>
  </w:num>
  <w:num w:numId="31" w16cid:durableId="1020937425">
    <w:abstractNumId w:val="3"/>
  </w:num>
  <w:num w:numId="32" w16cid:durableId="302272799">
    <w:abstractNumId w:val="30"/>
  </w:num>
  <w:num w:numId="33" w16cid:durableId="1636331422">
    <w:abstractNumId w:val="32"/>
  </w:num>
  <w:num w:numId="34" w16cid:durableId="559513574">
    <w:abstractNumId w:val="6"/>
  </w:num>
  <w:num w:numId="35" w16cid:durableId="2102951736">
    <w:abstractNumId w:val="1"/>
  </w:num>
  <w:num w:numId="36" w16cid:durableId="437220458">
    <w:abstractNumId w:val="22"/>
  </w:num>
  <w:num w:numId="37" w16cid:durableId="1230654683">
    <w:abstractNumId w:val="18"/>
  </w:num>
  <w:num w:numId="38" w16cid:durableId="1594701754">
    <w:abstractNumId w:val="31"/>
  </w:num>
  <w:num w:numId="39" w16cid:durableId="323096639">
    <w:abstractNumId w:val="20"/>
  </w:num>
  <w:num w:numId="40" w16cid:durableId="2103912425">
    <w:abstractNumId w:val="36"/>
  </w:num>
  <w:num w:numId="41" w16cid:durableId="951597667">
    <w:abstractNumId w:val="17"/>
  </w:num>
  <w:num w:numId="42" w16cid:durableId="601647198">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07E0B"/>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0F13"/>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FD6"/>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941"/>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4FC"/>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D4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0A3"/>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1B1"/>
    <w:rsid w:val="0038167B"/>
    <w:rsid w:val="00381ADC"/>
    <w:rsid w:val="00382CDA"/>
    <w:rsid w:val="00382E70"/>
    <w:rsid w:val="00383B18"/>
    <w:rsid w:val="00384027"/>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9D"/>
    <w:rsid w:val="003D1CE2"/>
    <w:rsid w:val="003D1D86"/>
    <w:rsid w:val="003D290D"/>
    <w:rsid w:val="003D2CB7"/>
    <w:rsid w:val="003D37E6"/>
    <w:rsid w:val="003D3CFE"/>
    <w:rsid w:val="003D4F63"/>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5A"/>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6642"/>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0EE0"/>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2D6E"/>
    <w:rsid w:val="00564147"/>
    <w:rsid w:val="00564809"/>
    <w:rsid w:val="005659C4"/>
    <w:rsid w:val="005672B1"/>
    <w:rsid w:val="005673C9"/>
    <w:rsid w:val="0056745A"/>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D79A0"/>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561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27E8"/>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0ADA"/>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64D"/>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5E65"/>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3659"/>
    <w:rsid w:val="007243E2"/>
    <w:rsid w:val="007244DB"/>
    <w:rsid w:val="00724D10"/>
    <w:rsid w:val="0072555B"/>
    <w:rsid w:val="00725D0A"/>
    <w:rsid w:val="007264D1"/>
    <w:rsid w:val="007279C8"/>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13E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6837"/>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233"/>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0952"/>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B7D0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66A"/>
    <w:rsid w:val="008D4F13"/>
    <w:rsid w:val="008D51C1"/>
    <w:rsid w:val="008D5FED"/>
    <w:rsid w:val="008D6030"/>
    <w:rsid w:val="008D63CB"/>
    <w:rsid w:val="008E03C1"/>
    <w:rsid w:val="008E0834"/>
    <w:rsid w:val="008E098A"/>
    <w:rsid w:val="008E1CE0"/>
    <w:rsid w:val="008E3227"/>
    <w:rsid w:val="008E3550"/>
    <w:rsid w:val="008E3952"/>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157"/>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29D"/>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1B8C"/>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41A1"/>
    <w:rsid w:val="00B343D0"/>
    <w:rsid w:val="00B34AE7"/>
    <w:rsid w:val="00B34C46"/>
    <w:rsid w:val="00B34E8C"/>
    <w:rsid w:val="00B36B39"/>
    <w:rsid w:val="00B36B96"/>
    <w:rsid w:val="00B37698"/>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50DC"/>
    <w:rsid w:val="00BB563A"/>
    <w:rsid w:val="00BB5D37"/>
    <w:rsid w:val="00BB6260"/>
    <w:rsid w:val="00BB7283"/>
    <w:rsid w:val="00BB79E9"/>
    <w:rsid w:val="00BB7E1B"/>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5EB8"/>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D01"/>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779"/>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2D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7D4"/>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688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379"/>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01C"/>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6504"/>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2</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Sangkyu Baek (Sharp)</cp:lastModifiedBy>
  <cp:revision>300</cp:revision>
  <cp:lastPrinted>2018-04-04T09:40:00Z</cp:lastPrinted>
  <dcterms:created xsi:type="dcterms:W3CDTF">2024-05-09T11:23:00Z</dcterms:created>
  <dcterms:modified xsi:type="dcterms:W3CDTF">2024-10-03T03:43:00Z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